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78CE" w:rsidRDefault="00A778CE">
      <w:pPr>
        <w:pStyle w:val="normal0"/>
        <w:jc w:val="right"/>
      </w:pPr>
    </w:p>
    <w:p w:rsidR="00A778CE" w:rsidRDefault="00A778CE">
      <w:pPr>
        <w:pStyle w:val="normal0"/>
        <w:jc w:val="right"/>
      </w:pPr>
    </w:p>
    <w:tbl>
      <w:tblPr>
        <w:tblStyle w:val="a"/>
        <w:tblW w:w="92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7797"/>
        <w:gridCol w:w="1418"/>
      </w:tblGrid>
      <w:tr w:rsidR="00A778CE" w:rsidTr="00036D8A">
        <w:trPr>
          <w:trHeight w:val="1260"/>
        </w:trPr>
        <w:tc>
          <w:tcPr>
            <w:tcW w:w="7797" w:type="dxa"/>
            <w:shd w:val="clear" w:color="auto" w:fill="8DB3E2" w:themeFill="text2" w:themeFillTint="66"/>
            <w:tcMar>
              <w:left w:w="108" w:type="dxa"/>
              <w:right w:w="108" w:type="dxa"/>
            </w:tcMar>
          </w:tcPr>
          <w:p w:rsidR="00A778CE" w:rsidRDefault="002218DC">
            <w:pPr>
              <w:pStyle w:val="normal0"/>
              <w:jc w:val="center"/>
            </w:pPr>
            <w:r>
              <w:rPr>
                <w:rFonts w:ascii="Arial" w:eastAsia="Arial" w:hAnsi="Arial" w:cs="Arial"/>
                <w:b/>
                <w:sz w:val="28"/>
                <w:szCs w:val="28"/>
              </w:rPr>
              <w:t>FUNDACIÓN BIOAVANCE (ANTIGUA FUNDACIÓN CANARIA DEL INSTITUTO DE TECNOLOGÍAS BIOMÉDICAS DE TENERIFE)</w:t>
            </w:r>
          </w:p>
        </w:tc>
        <w:tc>
          <w:tcPr>
            <w:tcW w:w="1418" w:type="dxa"/>
            <w:shd w:val="clear" w:color="auto" w:fill="8DB3E2" w:themeFill="text2" w:themeFillTint="66"/>
            <w:tcMar>
              <w:left w:w="108" w:type="dxa"/>
              <w:right w:w="108" w:type="dxa"/>
            </w:tcMar>
          </w:tcPr>
          <w:p w:rsidR="00036D8A" w:rsidRDefault="00036D8A" w:rsidP="00036D8A">
            <w:pPr>
              <w:pStyle w:val="normal0"/>
              <w:jc w:val="center"/>
              <w:rPr>
                <w:rFonts w:ascii="Arial" w:eastAsia="Arial" w:hAnsi="Arial" w:cs="Arial"/>
                <w:b/>
                <w:sz w:val="28"/>
                <w:szCs w:val="28"/>
              </w:rPr>
            </w:pPr>
          </w:p>
          <w:p w:rsidR="00A778CE" w:rsidRDefault="002218DC" w:rsidP="00036D8A">
            <w:pPr>
              <w:pStyle w:val="normal0"/>
              <w:jc w:val="center"/>
            </w:pPr>
            <w:r>
              <w:rPr>
                <w:rFonts w:ascii="Arial" w:eastAsia="Arial" w:hAnsi="Arial" w:cs="Arial"/>
                <w:b/>
                <w:sz w:val="28"/>
                <w:szCs w:val="28"/>
              </w:rPr>
              <w:t>2017</w:t>
            </w:r>
          </w:p>
        </w:tc>
      </w:tr>
      <w:tr w:rsidR="002218DC" w:rsidTr="00036D8A">
        <w:trPr>
          <w:trHeight w:val="639"/>
        </w:trPr>
        <w:tc>
          <w:tcPr>
            <w:tcW w:w="9215" w:type="dxa"/>
            <w:gridSpan w:val="2"/>
            <w:tcBorders>
              <w:bottom w:val="single" w:sz="4" w:space="0" w:color="auto"/>
            </w:tcBorders>
            <w:tcMar>
              <w:left w:w="108" w:type="dxa"/>
              <w:right w:w="108" w:type="dxa"/>
            </w:tcMar>
          </w:tcPr>
          <w:p w:rsidR="002218DC" w:rsidRDefault="002218DC">
            <w:pPr>
              <w:pStyle w:val="normal0"/>
              <w:jc w:val="center"/>
              <w:rPr>
                <w:rFonts w:ascii="Arial" w:eastAsia="Arial" w:hAnsi="Arial" w:cs="Arial"/>
                <w:b/>
                <w:sz w:val="22"/>
                <w:szCs w:val="22"/>
              </w:rPr>
            </w:pPr>
          </w:p>
          <w:p w:rsidR="002218DC" w:rsidRDefault="002218DC">
            <w:pPr>
              <w:pStyle w:val="normal0"/>
              <w:jc w:val="center"/>
            </w:pPr>
            <w:r>
              <w:rPr>
                <w:rFonts w:ascii="Arial" w:eastAsia="Arial" w:hAnsi="Arial" w:cs="Arial"/>
                <w:b/>
                <w:sz w:val="22"/>
                <w:szCs w:val="22"/>
              </w:rPr>
              <w:t xml:space="preserve">RELACIÓN DE OBJETIVOS A ALCANZAR DURANTE EL EJERCICIO 2017 </w:t>
            </w:r>
          </w:p>
          <w:p w:rsidR="002218DC" w:rsidRDefault="002218DC" w:rsidP="003E164F">
            <w:pPr>
              <w:pStyle w:val="normal0"/>
              <w:spacing w:line="276" w:lineRule="auto"/>
            </w:pPr>
          </w:p>
        </w:tc>
      </w:tr>
      <w:tr w:rsidR="00036D8A" w:rsidTr="00036D8A">
        <w:trPr>
          <w:trHeight w:val="10022"/>
        </w:trPr>
        <w:tc>
          <w:tcPr>
            <w:tcW w:w="9215" w:type="dxa"/>
            <w:gridSpan w:val="2"/>
            <w:tcBorders>
              <w:top w:val="single" w:sz="4" w:space="0" w:color="auto"/>
            </w:tcBorders>
            <w:tcMar>
              <w:left w:w="108" w:type="dxa"/>
              <w:right w:w="108" w:type="dxa"/>
            </w:tcMar>
          </w:tcPr>
          <w:p w:rsidR="00036D8A" w:rsidRDefault="00036D8A">
            <w:pPr>
              <w:pStyle w:val="normal0"/>
              <w:spacing w:line="360" w:lineRule="auto"/>
              <w:jc w:val="both"/>
            </w:pPr>
            <w:r>
              <w:rPr>
                <w:rFonts w:ascii="Arial" w:eastAsia="Arial" w:hAnsi="Arial" w:cs="Arial"/>
              </w:rPr>
              <w:t xml:space="preserve">La Universidad de La Laguna (ULL) tiene como una de sus prioridades desarrollar la investigación biomédica de calidad a través de la constitución en Tenerife de un centro de referencia en investigación de excelencia. </w:t>
            </w:r>
          </w:p>
          <w:p w:rsidR="00036D8A" w:rsidRDefault="00036D8A">
            <w:pPr>
              <w:pStyle w:val="normal0"/>
              <w:spacing w:line="360" w:lineRule="auto"/>
              <w:jc w:val="both"/>
            </w:pPr>
          </w:p>
          <w:p w:rsidR="00036D8A" w:rsidRDefault="00036D8A">
            <w:pPr>
              <w:pStyle w:val="normal0"/>
              <w:spacing w:line="360" w:lineRule="auto"/>
              <w:jc w:val="both"/>
            </w:pPr>
            <w:r>
              <w:rPr>
                <w:rFonts w:ascii="Arial" w:eastAsia="Arial" w:hAnsi="Arial" w:cs="Arial"/>
              </w:rPr>
              <w:t xml:space="preserve">El Cabildo Insular de Tenerife, consciente de la complejidad del proyecto, ha creado la Fundación Canaria del Instituto de Tecnologías Biomédicas de Tenerife (ahora denominada Fundación para el Avance de la biomedicina y la Biotecnología, Fundación </w:t>
            </w:r>
            <w:proofErr w:type="spellStart"/>
            <w:r>
              <w:rPr>
                <w:rFonts w:ascii="Arial" w:eastAsia="Arial" w:hAnsi="Arial" w:cs="Arial"/>
              </w:rPr>
              <w:t>Bioavance</w:t>
            </w:r>
            <w:proofErr w:type="spellEnd"/>
            <w:r>
              <w:rPr>
                <w:rFonts w:ascii="Arial" w:eastAsia="Arial" w:hAnsi="Arial" w:cs="Arial"/>
              </w:rPr>
              <w:t xml:space="preserve">, FBIO) para asistir a la ULL en todas aquellas tareas que sean necesarias para alcanzar la culminación exitosa del CIBICAN. </w:t>
            </w:r>
          </w:p>
          <w:p w:rsidR="00036D8A" w:rsidRDefault="00036D8A">
            <w:pPr>
              <w:pStyle w:val="normal0"/>
              <w:spacing w:line="360" w:lineRule="auto"/>
              <w:jc w:val="both"/>
            </w:pPr>
          </w:p>
          <w:p w:rsidR="00036D8A" w:rsidRDefault="00036D8A">
            <w:pPr>
              <w:pStyle w:val="normal0"/>
              <w:spacing w:line="360" w:lineRule="auto"/>
              <w:jc w:val="both"/>
              <w:rPr>
                <w:rFonts w:ascii="Arial" w:eastAsia="Arial" w:hAnsi="Arial" w:cs="Arial"/>
              </w:rPr>
            </w:pPr>
            <w:r>
              <w:rPr>
                <w:rFonts w:ascii="Arial" w:eastAsia="Arial" w:hAnsi="Arial" w:cs="Arial"/>
              </w:rPr>
              <w:t xml:space="preserve">En el año 2017 las actividades más importantes se enmarcan dentro de objetivos plurianuales: </w:t>
            </w:r>
          </w:p>
          <w:p w:rsidR="00036D8A" w:rsidRDefault="00036D8A">
            <w:pPr>
              <w:pStyle w:val="normal0"/>
              <w:spacing w:line="360" w:lineRule="auto"/>
              <w:jc w:val="both"/>
            </w:pPr>
          </w:p>
          <w:p w:rsidR="00036D8A" w:rsidRDefault="00036D8A">
            <w:pPr>
              <w:pStyle w:val="normal0"/>
              <w:spacing w:line="360" w:lineRule="auto"/>
              <w:ind w:left="708"/>
              <w:jc w:val="both"/>
              <w:rPr>
                <w:rFonts w:ascii="Arial" w:eastAsia="Arial" w:hAnsi="Arial" w:cs="Arial"/>
              </w:rPr>
            </w:pPr>
            <w:r>
              <w:rPr>
                <w:rFonts w:ascii="Arial" w:eastAsia="Arial" w:hAnsi="Arial" w:cs="Arial"/>
              </w:rPr>
              <w:t>1.- Desarrollar vías de actividad que permitan la obtención de recursos para la fundación distintos a  la aportación anual del Cabildo de Tenerife. Esto se hará incrementando la prestación de servicios remunerados al sector privado contando con la experticia de los distintos grupos de I+D del CIBICAN.</w:t>
            </w:r>
          </w:p>
          <w:p w:rsidR="00036D8A" w:rsidRDefault="00036D8A">
            <w:pPr>
              <w:pStyle w:val="normal0"/>
              <w:spacing w:line="360" w:lineRule="auto"/>
              <w:ind w:left="708"/>
              <w:jc w:val="both"/>
            </w:pPr>
          </w:p>
          <w:p w:rsidR="00036D8A" w:rsidRDefault="00036D8A">
            <w:pPr>
              <w:pStyle w:val="normal0"/>
              <w:spacing w:line="360" w:lineRule="auto"/>
              <w:ind w:left="708"/>
              <w:jc w:val="both"/>
              <w:rPr>
                <w:rFonts w:ascii="Arial" w:eastAsia="Arial" w:hAnsi="Arial" w:cs="Arial"/>
                <w:sz w:val="18"/>
                <w:szCs w:val="18"/>
              </w:rPr>
            </w:pPr>
            <w:r>
              <w:rPr>
                <w:rFonts w:ascii="Arial" w:eastAsia="Arial" w:hAnsi="Arial" w:cs="Arial"/>
              </w:rPr>
              <w:t xml:space="preserve">2.-Ayudar a la ULL en el diseño, estructuración y gestión de la construcción del edificio del CIBICAN en su PRIMERA FASE así como contribuir a que se cumplan los plazos exigidos por el Instituto de Salud Carlos III (Ministerio de Ciencia e Innovación) Objetivo plurianual. En 2017: que </w:t>
            </w:r>
            <w:r>
              <w:rPr>
                <w:rFonts w:ascii="Arial" w:eastAsia="Arial" w:hAnsi="Arial" w:cs="Arial"/>
                <w:sz w:val="18"/>
                <w:szCs w:val="18"/>
              </w:rPr>
              <w:t>la ULL concluya el edificio en el marco de un nuevo convenio ULL-Cabildo.</w:t>
            </w:r>
          </w:p>
          <w:p w:rsidR="00036D8A" w:rsidRDefault="00036D8A">
            <w:pPr>
              <w:pStyle w:val="normal0"/>
              <w:spacing w:line="360" w:lineRule="auto"/>
              <w:ind w:left="708"/>
              <w:jc w:val="both"/>
            </w:pPr>
          </w:p>
          <w:p w:rsidR="00036D8A" w:rsidRDefault="00036D8A">
            <w:pPr>
              <w:pStyle w:val="normal0"/>
              <w:spacing w:line="360" w:lineRule="auto"/>
              <w:ind w:left="708"/>
              <w:jc w:val="both"/>
              <w:rPr>
                <w:rFonts w:ascii="Arial" w:eastAsia="Arial" w:hAnsi="Arial" w:cs="Arial"/>
              </w:rPr>
            </w:pPr>
            <w:r>
              <w:rPr>
                <w:rFonts w:ascii="Arial" w:eastAsia="Arial" w:hAnsi="Arial" w:cs="Arial"/>
              </w:rPr>
              <w:t>3.-Ayudar a la ULL a conseguir financiación para la construcción de la SEGUNDA FASE del edificio CIBICAN.</w:t>
            </w:r>
          </w:p>
          <w:p w:rsidR="00036D8A" w:rsidRDefault="00036D8A">
            <w:pPr>
              <w:pStyle w:val="normal0"/>
              <w:spacing w:line="360" w:lineRule="auto"/>
              <w:ind w:left="708"/>
              <w:jc w:val="both"/>
            </w:pPr>
            <w:bookmarkStart w:id="0" w:name="_GoBack"/>
            <w:bookmarkEnd w:id="0"/>
          </w:p>
          <w:p w:rsidR="00036D8A" w:rsidRDefault="00036D8A">
            <w:pPr>
              <w:pStyle w:val="normal0"/>
              <w:spacing w:line="360" w:lineRule="auto"/>
              <w:ind w:left="708"/>
              <w:jc w:val="both"/>
            </w:pPr>
            <w:r>
              <w:rPr>
                <w:rFonts w:ascii="Arial" w:eastAsia="Arial" w:hAnsi="Arial" w:cs="Arial"/>
              </w:rPr>
              <w:t xml:space="preserve">4.- Ayudar al CIBICAN a desarrollar un plan de financiación de una estructura de funcionamiento que permita su viabilidad financiera, consolidar la captación de científicos y mantener una estructura de gestión básica (Plurianual). </w:t>
            </w:r>
          </w:p>
          <w:p w:rsidR="00036D8A" w:rsidRDefault="00036D8A" w:rsidP="003E164F">
            <w:pPr>
              <w:pStyle w:val="normal0"/>
              <w:spacing w:line="276" w:lineRule="auto"/>
              <w:rPr>
                <w:rFonts w:ascii="Arial" w:eastAsia="Arial" w:hAnsi="Arial" w:cs="Arial"/>
                <w:b/>
                <w:sz w:val="22"/>
                <w:szCs w:val="22"/>
              </w:rPr>
            </w:pPr>
          </w:p>
        </w:tc>
      </w:tr>
    </w:tbl>
    <w:p w:rsidR="00A778CE" w:rsidRDefault="00A778CE">
      <w:pPr>
        <w:pStyle w:val="normal0"/>
      </w:pPr>
    </w:p>
    <w:sectPr w:rsidR="00A778CE" w:rsidSect="00A31D5B">
      <w:pgSz w:w="11906" w:h="16838"/>
      <w:pgMar w:top="1135" w:right="1701" w:bottom="1417" w:left="170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proofState w:spelling="clean" w:grammar="clean"/>
  <w:defaultTabStop w:val="720"/>
  <w:hyphenationZone w:val="425"/>
  <w:characterSpacingControl w:val="doNotCompress"/>
  <w:compat/>
  <w:rsids>
    <w:rsidRoot w:val="00A778CE"/>
    <w:rsid w:val="00036D8A"/>
    <w:rsid w:val="002218DC"/>
    <w:rsid w:val="00A31D5B"/>
    <w:rsid w:val="00A778CE"/>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D5B"/>
  </w:style>
  <w:style w:type="paragraph" w:styleId="Ttulo1">
    <w:name w:val="heading 1"/>
    <w:basedOn w:val="normal0"/>
    <w:next w:val="normal0"/>
    <w:rsid w:val="00A31D5B"/>
    <w:pPr>
      <w:keepNext/>
      <w:keepLines/>
      <w:spacing w:before="480" w:after="120"/>
      <w:contextualSpacing/>
      <w:outlineLvl w:val="0"/>
    </w:pPr>
    <w:rPr>
      <w:b/>
      <w:sz w:val="48"/>
      <w:szCs w:val="48"/>
    </w:rPr>
  </w:style>
  <w:style w:type="paragraph" w:styleId="Ttulo2">
    <w:name w:val="heading 2"/>
    <w:basedOn w:val="normal0"/>
    <w:next w:val="normal0"/>
    <w:rsid w:val="00A31D5B"/>
    <w:pPr>
      <w:keepNext/>
      <w:keepLines/>
      <w:spacing w:before="360" w:after="80"/>
      <w:contextualSpacing/>
      <w:outlineLvl w:val="1"/>
    </w:pPr>
    <w:rPr>
      <w:b/>
      <w:sz w:val="36"/>
      <w:szCs w:val="36"/>
    </w:rPr>
  </w:style>
  <w:style w:type="paragraph" w:styleId="Ttulo3">
    <w:name w:val="heading 3"/>
    <w:basedOn w:val="normal0"/>
    <w:next w:val="normal0"/>
    <w:rsid w:val="00A31D5B"/>
    <w:pPr>
      <w:keepNext/>
      <w:keepLines/>
      <w:spacing w:before="280" w:after="80"/>
      <w:contextualSpacing/>
      <w:outlineLvl w:val="2"/>
    </w:pPr>
    <w:rPr>
      <w:b/>
      <w:sz w:val="28"/>
      <w:szCs w:val="28"/>
    </w:rPr>
  </w:style>
  <w:style w:type="paragraph" w:styleId="Ttulo4">
    <w:name w:val="heading 4"/>
    <w:basedOn w:val="normal0"/>
    <w:next w:val="normal0"/>
    <w:rsid w:val="00A31D5B"/>
    <w:pPr>
      <w:keepNext/>
      <w:keepLines/>
      <w:spacing w:before="240" w:after="40"/>
      <w:contextualSpacing/>
      <w:outlineLvl w:val="3"/>
    </w:pPr>
    <w:rPr>
      <w:b/>
      <w:sz w:val="24"/>
      <w:szCs w:val="24"/>
    </w:rPr>
  </w:style>
  <w:style w:type="paragraph" w:styleId="Ttulo5">
    <w:name w:val="heading 5"/>
    <w:basedOn w:val="normal0"/>
    <w:next w:val="normal0"/>
    <w:rsid w:val="00A31D5B"/>
    <w:pPr>
      <w:keepNext/>
      <w:keepLines/>
      <w:spacing w:before="220" w:after="40"/>
      <w:contextualSpacing/>
      <w:outlineLvl w:val="4"/>
    </w:pPr>
    <w:rPr>
      <w:b/>
      <w:sz w:val="22"/>
      <w:szCs w:val="22"/>
    </w:rPr>
  </w:style>
  <w:style w:type="paragraph" w:styleId="Ttulo6">
    <w:name w:val="heading 6"/>
    <w:basedOn w:val="normal0"/>
    <w:next w:val="normal0"/>
    <w:rsid w:val="00A31D5B"/>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A31D5B"/>
  </w:style>
  <w:style w:type="table" w:customStyle="1" w:styleId="TableNormal">
    <w:name w:val="Table Normal"/>
    <w:rsid w:val="00A31D5B"/>
    <w:tblPr>
      <w:tblCellMar>
        <w:top w:w="0" w:type="dxa"/>
        <w:left w:w="0" w:type="dxa"/>
        <w:bottom w:w="0" w:type="dxa"/>
        <w:right w:w="0" w:type="dxa"/>
      </w:tblCellMar>
    </w:tblPr>
  </w:style>
  <w:style w:type="paragraph" w:styleId="Ttulo">
    <w:name w:val="Title"/>
    <w:basedOn w:val="normal0"/>
    <w:next w:val="normal0"/>
    <w:rsid w:val="00A31D5B"/>
    <w:pPr>
      <w:keepNext/>
      <w:keepLines/>
      <w:spacing w:before="480" w:after="120"/>
      <w:contextualSpacing/>
    </w:pPr>
    <w:rPr>
      <w:b/>
      <w:sz w:val="72"/>
      <w:szCs w:val="72"/>
    </w:rPr>
  </w:style>
  <w:style w:type="paragraph" w:styleId="Subttulo">
    <w:name w:val="Subtitle"/>
    <w:basedOn w:val="normal0"/>
    <w:next w:val="normal0"/>
    <w:rsid w:val="00A31D5B"/>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A31D5B"/>
    <w:tblPr>
      <w:tblStyleRowBandSize w:val="1"/>
      <w:tblStyleColBandSize w:val="1"/>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218D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218D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s-ES" w:eastAsia="es-E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80" w:after="120"/>
      <w:contextualSpacing/>
      <w:outlineLvl w:val="0"/>
    </w:pPr>
    <w:rPr>
      <w:b/>
      <w:sz w:val="48"/>
      <w:szCs w:val="48"/>
    </w:rPr>
  </w:style>
  <w:style w:type="paragraph" w:styleId="Ttulo2">
    <w:name w:val="heading 2"/>
    <w:basedOn w:val="normal0"/>
    <w:next w:val="normal0"/>
    <w:pPr>
      <w:keepNext/>
      <w:keepLines/>
      <w:spacing w:before="360" w:after="80"/>
      <w:contextualSpacing/>
      <w:outlineLvl w:val="1"/>
    </w:pPr>
    <w:rPr>
      <w:b/>
      <w:sz w:val="36"/>
      <w:szCs w:val="36"/>
    </w:rPr>
  </w:style>
  <w:style w:type="paragraph" w:styleId="Ttulo3">
    <w:name w:val="heading 3"/>
    <w:basedOn w:val="normal0"/>
    <w:next w:val="normal0"/>
    <w:pPr>
      <w:keepNext/>
      <w:keepLines/>
      <w:spacing w:before="280" w:after="80"/>
      <w:contextualSpacing/>
      <w:outlineLvl w:val="2"/>
    </w:pPr>
    <w:rPr>
      <w:b/>
      <w:sz w:val="28"/>
      <w:szCs w:val="28"/>
    </w:rPr>
  </w:style>
  <w:style w:type="paragraph" w:styleId="Ttulo4">
    <w:name w:val="heading 4"/>
    <w:basedOn w:val="normal0"/>
    <w:next w:val="normal0"/>
    <w:pPr>
      <w:keepNext/>
      <w:keepLines/>
      <w:spacing w:before="240" w:after="40"/>
      <w:contextualSpacing/>
      <w:outlineLvl w:val="3"/>
    </w:pPr>
    <w:rPr>
      <w:b/>
      <w:sz w:val="24"/>
      <w:szCs w:val="24"/>
    </w:rPr>
  </w:style>
  <w:style w:type="paragraph" w:styleId="Ttulo5">
    <w:name w:val="heading 5"/>
    <w:basedOn w:val="normal0"/>
    <w:next w:val="normal0"/>
    <w:pPr>
      <w:keepNext/>
      <w:keepLines/>
      <w:spacing w:before="220" w:after="40"/>
      <w:contextualSpacing/>
      <w:outlineLvl w:val="4"/>
    </w:pPr>
    <w:rPr>
      <w:b/>
      <w:sz w:val="22"/>
      <w:szCs w:val="22"/>
    </w:rPr>
  </w:style>
  <w:style w:type="paragraph" w:styleId="Ttulo6">
    <w:name w:val="heading 6"/>
    <w:basedOn w:val="normal0"/>
    <w:next w:val="normal0"/>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spacing w:before="480" w:after="120"/>
      <w:contextualSpacing/>
    </w:pPr>
    <w:rPr>
      <w:b/>
      <w:sz w:val="72"/>
      <w:szCs w:val="72"/>
    </w:rPr>
  </w:style>
  <w:style w:type="paragraph" w:styleId="Subttulo">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218D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218DC"/>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1590</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Excmo. Cabildo Insular de Tenerife</cp:lastModifiedBy>
  <cp:revision>3</cp:revision>
  <dcterms:created xsi:type="dcterms:W3CDTF">2016-11-03T12:53:00Z</dcterms:created>
  <dcterms:modified xsi:type="dcterms:W3CDTF">2016-11-25T11:49:00Z</dcterms:modified>
</cp:coreProperties>
</file>