
<file path=[Content_Types].xml><?xml version="1.0" encoding="utf-8"?>
<Types xmlns="http://schemas.openxmlformats.org/package/2006/content-types">
  <Default Extension="bin" ContentType="application/vnd.ms-word.attachedToolbars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1E0"/>
      </w:tblPr>
      <w:tblGrid>
        <w:gridCol w:w="1819"/>
        <w:gridCol w:w="6158"/>
        <w:gridCol w:w="356"/>
        <w:gridCol w:w="1514"/>
      </w:tblGrid>
      <w:tr w:rsidR="002602AC" w:rsidRPr="002449DE" w:rsidTr="00A002B3">
        <w:trPr>
          <w:gridAfter w:val="2"/>
          <w:wAfter w:w="1870" w:type="dxa"/>
          <w:trHeight w:val="1433"/>
        </w:trPr>
        <w:tc>
          <w:tcPr>
            <w:tcW w:w="1819" w:type="dxa"/>
          </w:tcPr>
          <w:p w:rsidR="002602AC" w:rsidRPr="002449DE" w:rsidRDefault="002602AC" w:rsidP="00B97F5E">
            <w:pPr>
              <w:spacing w:before="0"/>
              <w:rPr>
                <w:rFonts w:cs="Arial"/>
              </w:rPr>
            </w:pPr>
          </w:p>
        </w:tc>
        <w:tc>
          <w:tcPr>
            <w:tcW w:w="6158" w:type="dxa"/>
          </w:tcPr>
          <w:p w:rsidR="002602AC" w:rsidRPr="002449DE" w:rsidRDefault="002602AC" w:rsidP="00EF579A">
            <w:pPr>
              <w:pStyle w:val="Area"/>
              <w:tabs>
                <w:tab w:val="left" w:leader="dot" w:pos="4734"/>
              </w:tabs>
              <w:spacing w:before="240"/>
            </w:pPr>
          </w:p>
        </w:tc>
      </w:tr>
      <w:tr w:rsidR="00CC19DF" w:rsidRPr="007D095A" w:rsidTr="00A0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61"/>
        </w:trPr>
        <w:tc>
          <w:tcPr>
            <w:tcW w:w="8333" w:type="dxa"/>
            <w:gridSpan w:val="3"/>
            <w:shd w:val="clear" w:color="auto" w:fill="99CCFF"/>
            <w:vAlign w:val="center"/>
          </w:tcPr>
          <w:p w:rsidR="00643780" w:rsidRPr="00EB7062" w:rsidRDefault="00643780" w:rsidP="00643780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EB7062">
              <w:rPr>
                <w:rFonts w:cs="Arial"/>
                <w:b/>
                <w:bCs/>
                <w:sz w:val="22"/>
                <w:szCs w:val="22"/>
              </w:rPr>
              <w:t>PRESUPUESTO GENERAL DEL CABILDO INSULAR DE TENERIFE</w:t>
            </w:r>
            <w:r w:rsidRPr="00EB7062">
              <w:rPr>
                <w:rFonts w:cs="Arial"/>
                <w:b/>
                <w:bCs/>
                <w:sz w:val="22"/>
                <w:szCs w:val="22"/>
              </w:rPr>
              <w:br/>
              <w:t>PROGRAMA DE ACTUACIÓN, INVERSIONES Y FINANCIACIÓN</w:t>
            </w:r>
          </w:p>
          <w:p w:rsidR="00CC19DF" w:rsidRPr="00EB7062" w:rsidRDefault="00CC19DF" w:rsidP="00E55BDB">
            <w:pPr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514" w:type="dxa"/>
            <w:vMerge w:val="restart"/>
            <w:shd w:val="clear" w:color="auto" w:fill="99CCFF"/>
            <w:vAlign w:val="center"/>
          </w:tcPr>
          <w:p w:rsidR="00CC19DF" w:rsidRPr="00EB7062" w:rsidRDefault="00CC19DF" w:rsidP="00D84BD8">
            <w:pPr>
              <w:spacing w:before="0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201</w:t>
            </w:r>
            <w:r w:rsidR="00D84BD8">
              <w:rPr>
                <w:rFonts w:cs="Arial"/>
                <w:b/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CC19DF" w:rsidRPr="007D095A" w:rsidTr="00A0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8"/>
        </w:trPr>
        <w:tc>
          <w:tcPr>
            <w:tcW w:w="8333" w:type="dxa"/>
            <w:gridSpan w:val="3"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ENTIDAD: </w:t>
            </w:r>
            <w:r w:rsidR="007755D7" w:rsidRPr="007755D7">
              <w:rPr>
                <w:rFonts w:cs="Arial"/>
                <w:b/>
                <w:sz w:val="22"/>
                <w:szCs w:val="22"/>
              </w:rPr>
              <w:t>Gestión Insular de Aguas de Tenerife, S.A.</w:t>
            </w:r>
          </w:p>
        </w:tc>
        <w:tc>
          <w:tcPr>
            <w:tcW w:w="1514" w:type="dxa"/>
            <w:vMerge/>
            <w:shd w:val="clear" w:color="auto" w:fill="99CCFF"/>
            <w:vAlign w:val="center"/>
          </w:tcPr>
          <w:p w:rsidR="00CC19DF" w:rsidRPr="00EB7062" w:rsidRDefault="00CC19DF" w:rsidP="00CC19DF">
            <w:pPr>
              <w:spacing w:before="0"/>
              <w:ind w:firstLine="33"/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9DF" w:rsidTr="00A0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3"/>
        </w:trPr>
        <w:tc>
          <w:tcPr>
            <w:tcW w:w="9847" w:type="dxa"/>
            <w:gridSpan w:val="4"/>
            <w:vAlign w:val="center"/>
          </w:tcPr>
          <w:p w:rsidR="00CC19DF" w:rsidRPr="00EB7062" w:rsidRDefault="00CC19DF" w:rsidP="00D4329D">
            <w:pPr>
              <w:spacing w:before="0"/>
              <w:jc w:val="center"/>
              <w:rPr>
                <w:rFonts w:cs="Arial"/>
                <w:b/>
                <w:sz w:val="22"/>
                <w:szCs w:val="22"/>
              </w:rPr>
            </w:pPr>
            <w:r w:rsidRPr="00EB7062">
              <w:rPr>
                <w:rFonts w:cs="Arial"/>
                <w:b/>
                <w:sz w:val="22"/>
                <w:szCs w:val="22"/>
              </w:rPr>
              <w:t xml:space="preserve">MEMORIA DE </w:t>
            </w:r>
            <w:r>
              <w:rPr>
                <w:rFonts w:cs="Arial"/>
                <w:b/>
                <w:sz w:val="22"/>
                <w:szCs w:val="22"/>
              </w:rPr>
              <w:t>OBJETIVOS</w:t>
            </w:r>
            <w:r w:rsidRPr="00EB7062">
              <w:rPr>
                <w:rFonts w:cs="Arial"/>
                <w:b/>
                <w:sz w:val="22"/>
                <w:szCs w:val="22"/>
              </w:rPr>
              <w:t xml:space="preserve"> A REALIZAR DURANTE EL EJERCICIO 201</w:t>
            </w:r>
            <w:r w:rsidR="00D4329D">
              <w:rPr>
                <w:rFonts w:cs="Arial"/>
                <w:b/>
                <w:sz w:val="22"/>
                <w:szCs w:val="22"/>
              </w:rPr>
              <w:t>7</w:t>
            </w:r>
          </w:p>
        </w:tc>
      </w:tr>
      <w:tr w:rsidR="00CC19DF" w:rsidRPr="001323D6" w:rsidTr="00A002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07"/>
        </w:trPr>
        <w:tc>
          <w:tcPr>
            <w:tcW w:w="9847" w:type="dxa"/>
            <w:gridSpan w:val="4"/>
          </w:tcPr>
          <w:p w:rsidR="00CC19DF" w:rsidRPr="001323D6" w:rsidRDefault="00CC19DF" w:rsidP="00E55BDB">
            <w:pPr>
              <w:spacing w:before="0"/>
              <w:rPr>
                <w:rFonts w:cs="Arial"/>
              </w:rPr>
            </w:pP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  <w:r w:rsidRPr="00E358EC">
              <w:rPr>
                <w:rFonts w:cs="Arial"/>
              </w:rPr>
              <w:t>Mediante escritura pública de fecha 13 de agosto de 2013 fue constituida la empresa pública “Gestión Insu</w:t>
            </w:r>
            <w:r w:rsidR="00635A7C" w:rsidRPr="00E358EC">
              <w:rPr>
                <w:rFonts w:cs="Arial"/>
              </w:rPr>
              <w:t xml:space="preserve">lar de Aguas de Tenerife, S.A.”, GESTA, </w:t>
            </w:r>
            <w:r w:rsidRPr="00E358EC">
              <w:rPr>
                <w:rFonts w:cs="Arial"/>
              </w:rPr>
              <w:t>como sociedad anónima por tiempo indefinido, siendo su único accionista el Consejo Insular de Aguas de Tenerife.</w:t>
            </w: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  <w:r w:rsidRPr="00E358EC">
              <w:rPr>
                <w:rFonts w:cs="Arial"/>
              </w:rPr>
              <w:t xml:space="preserve">La actividad de la empresa durante los ejercicios 2013, 2014 y 2015 se ha limitado a actividades relacionadas con su constitución. </w:t>
            </w:r>
            <w:r w:rsidR="00D84BD8">
              <w:rPr>
                <w:rFonts w:cs="Arial"/>
              </w:rPr>
              <w:t>En el ejercicio 2016 la empresa ha incorporado sus primeros dos trabajadores, el 26 de octubre el Gerente, y el 2 de noviembre al Director Técnico.</w:t>
            </w: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</w:p>
          <w:p w:rsidR="00CC19DF" w:rsidRPr="00E358EC" w:rsidRDefault="007755D7" w:rsidP="007755D7">
            <w:pPr>
              <w:spacing w:before="0"/>
              <w:rPr>
                <w:rFonts w:cs="Arial"/>
              </w:rPr>
            </w:pPr>
            <w:r w:rsidRPr="00E358EC">
              <w:rPr>
                <w:rFonts w:cs="Arial"/>
              </w:rPr>
              <w:t xml:space="preserve">Está previsto que el Consejo Insular de Aguas reciba dos </w:t>
            </w:r>
            <w:proofErr w:type="spellStart"/>
            <w:r w:rsidRPr="00E358EC">
              <w:rPr>
                <w:rFonts w:cs="Arial"/>
              </w:rPr>
              <w:t>desaladoras</w:t>
            </w:r>
            <w:proofErr w:type="spellEnd"/>
            <w:r w:rsidRPr="00E358EC">
              <w:rPr>
                <w:rFonts w:cs="Arial"/>
              </w:rPr>
              <w:t xml:space="preserve"> incluidas en el Convenio de Obras de Interés General del Estado 2007-201</w:t>
            </w:r>
            <w:r w:rsidR="00D84BD8">
              <w:rPr>
                <w:rFonts w:cs="Arial"/>
              </w:rPr>
              <w:t>5</w:t>
            </w:r>
            <w:r w:rsidRPr="00E358EC">
              <w:rPr>
                <w:rFonts w:cs="Arial"/>
              </w:rPr>
              <w:t xml:space="preserve">, EDAM de </w:t>
            </w:r>
            <w:proofErr w:type="spellStart"/>
            <w:r w:rsidRPr="00E358EC">
              <w:rPr>
                <w:rFonts w:cs="Arial"/>
              </w:rPr>
              <w:t>Fonsalía</w:t>
            </w:r>
            <w:proofErr w:type="spellEnd"/>
            <w:r w:rsidRPr="00E358EC">
              <w:rPr>
                <w:rFonts w:cs="Arial"/>
              </w:rPr>
              <w:t xml:space="preserve"> o del Oeste (T.M. de Guía de Isora) y EDAM de Granadilla (T.M. de Granadilla), ambas actualmente en </w:t>
            </w:r>
            <w:r w:rsidR="00D84BD8">
              <w:rPr>
                <w:rFonts w:cs="Arial"/>
              </w:rPr>
              <w:t>fase de recepción</w:t>
            </w:r>
            <w:r w:rsidRPr="00E358EC">
              <w:rPr>
                <w:rFonts w:cs="Arial"/>
              </w:rPr>
              <w:t xml:space="preserve"> por parte del Gobierno de Canarias, para dar servicio a las comarcas Oeste y Abona, respectivamente.</w:t>
            </w: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</w:p>
          <w:p w:rsidR="007755D7" w:rsidRPr="00E358EC" w:rsidRDefault="007755D7" w:rsidP="007755D7">
            <w:pPr>
              <w:spacing w:before="0"/>
              <w:rPr>
                <w:rFonts w:cs="Arial"/>
              </w:rPr>
            </w:pPr>
            <w:r w:rsidRPr="00E358EC">
              <w:rPr>
                <w:rFonts w:cs="Arial"/>
              </w:rPr>
              <w:t xml:space="preserve">Para preparar la </w:t>
            </w:r>
            <w:r w:rsidR="00D84BD8">
              <w:rPr>
                <w:rFonts w:cs="Arial"/>
              </w:rPr>
              <w:t>puesta en servicio</w:t>
            </w:r>
            <w:r w:rsidRPr="00E358EC">
              <w:rPr>
                <w:rFonts w:cs="Arial"/>
              </w:rPr>
              <w:t xml:space="preserve"> de dichas </w:t>
            </w:r>
            <w:proofErr w:type="spellStart"/>
            <w:r w:rsidRPr="00E358EC">
              <w:rPr>
                <w:rFonts w:cs="Arial"/>
              </w:rPr>
              <w:t>desaladoras</w:t>
            </w:r>
            <w:proofErr w:type="spellEnd"/>
            <w:r w:rsidRPr="00E358EC">
              <w:rPr>
                <w:rFonts w:cs="Arial"/>
              </w:rPr>
              <w:t xml:space="preserve"> y lograr un grado de desarrollo suficiente de los sistemas asociados a las mismas, de modo que sea posible abastecer con costes unitarios razonables, </w:t>
            </w:r>
            <w:r w:rsidR="00301207" w:rsidRPr="00E358EC">
              <w:rPr>
                <w:rFonts w:cs="Arial"/>
              </w:rPr>
              <w:t>el Consejo Insular de Aguas enc</w:t>
            </w:r>
            <w:r w:rsidR="00FD6B8B">
              <w:rPr>
                <w:rFonts w:cs="Arial"/>
              </w:rPr>
              <w:t>omend</w:t>
            </w:r>
            <w:r w:rsidR="00D84BD8">
              <w:rPr>
                <w:rFonts w:cs="Arial"/>
              </w:rPr>
              <w:t>ó</w:t>
            </w:r>
            <w:r w:rsidR="00301207" w:rsidRPr="00E358EC">
              <w:rPr>
                <w:rFonts w:cs="Arial"/>
              </w:rPr>
              <w:t xml:space="preserve"> </w:t>
            </w:r>
            <w:r w:rsidRPr="00E358EC">
              <w:rPr>
                <w:rFonts w:cs="Arial"/>
              </w:rPr>
              <w:t>a GESTA</w:t>
            </w:r>
            <w:r w:rsidR="00D84BD8">
              <w:rPr>
                <w:rFonts w:cs="Arial"/>
              </w:rPr>
              <w:t>, en Junta de Gobierno de 6 de junio de 2016,</w:t>
            </w:r>
            <w:r w:rsidRPr="00E358EC">
              <w:rPr>
                <w:rFonts w:cs="Arial"/>
              </w:rPr>
              <w:t xml:space="preserve"> la ejecución</w:t>
            </w:r>
            <w:r w:rsidR="00C2268E">
              <w:rPr>
                <w:rFonts w:cs="Arial"/>
              </w:rPr>
              <w:t xml:space="preserve"> </w:t>
            </w:r>
            <w:r w:rsidRPr="00E358EC">
              <w:rPr>
                <w:rFonts w:cs="Arial"/>
              </w:rPr>
              <w:t>de las siguientes infraestructuras complementarias de transporte, aducción y regulación:</w:t>
            </w:r>
          </w:p>
          <w:p w:rsidR="007755D7" w:rsidRDefault="007755D7" w:rsidP="007755D7">
            <w:pPr>
              <w:spacing w:before="0"/>
              <w:rPr>
                <w:rFonts w:cs="Arial"/>
                <w:b/>
              </w:rPr>
            </w:pPr>
          </w:p>
          <w:tbl>
            <w:tblPr>
              <w:tblW w:w="9230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6804"/>
              <w:gridCol w:w="2426"/>
            </w:tblGrid>
            <w:tr w:rsidR="00B87465" w:rsidRPr="00B87465" w:rsidTr="00B87465">
              <w:trPr>
                <w:trHeight w:val="601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  <w:t>SISTEMA DESALACIÓN ABONA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center"/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  <w:t>Importe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Conducciones adicionales de transporte de agua desalada, en la EDAM de Abona, hacia el Oeste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3.582.065,64 €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Depósito de regulación de agua desalada de San Isidro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1.245.395,20 €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Conducciones de Impulsión de agua desalada para el abastecimiento de San Isidro, primera fase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1.732.024,00 €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Conducciones de aducción y depósito comarcal de regulación de agua desalada en Arico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1.943.326,59 €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B87465" w:rsidRDefault="00B87465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  <w:t xml:space="preserve">8.502.811,43 €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Default="00B87465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E358EC" w:rsidRDefault="00E358EC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E358EC" w:rsidRDefault="00E358EC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E358EC" w:rsidRDefault="00E358EC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5A375A" w:rsidRDefault="005A375A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5A375A" w:rsidRDefault="005A375A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  <w:p w:rsidR="00E358EC" w:rsidRPr="00B87465" w:rsidRDefault="00E358EC" w:rsidP="00B87465">
                  <w:pPr>
                    <w:spacing w:before="0"/>
                    <w:ind w:firstLineChars="100" w:firstLine="22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B87465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B87465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</w:pPr>
                  <w:r w:rsidRPr="00B87465">
                    <w:rPr>
                      <w:rFonts w:eastAsia="Times New Roman" w:cs="Arial"/>
                      <w:b/>
                      <w:bCs/>
                      <w:color w:val="000000"/>
                      <w:sz w:val="22"/>
                      <w:szCs w:val="22"/>
                      <w:lang w:val="es-ES" w:eastAsia="es-ES"/>
                    </w:rPr>
                    <w:lastRenderedPageBreak/>
                    <w:t>SISTEMA DESALACIÓN OESTE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B87465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Aducción al depósito de la Urb. San Francisco</w:t>
                  </w:r>
                </w:p>
              </w:tc>
              <w:tc>
                <w:tcPr>
                  <w:tcW w:w="2426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115.864,09 €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Aducción al depósito de Playa San Juan II y conexión con la red de distribución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237.811,93 €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Depósito Playa San Juan II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966.770,23 €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Aducción al depósito de Alcalá II y conexión con la red de distribución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527.926,37 €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Depósito Alcalá II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907.225,40 €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Aducción al depósito de El Cruce y conexión con la red de distribución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79.780,85 €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rPr>
                      <w:rFonts w:cs="Arial"/>
                    </w:rPr>
                  </w:pPr>
                  <w:r w:rsidRPr="00E358EC">
                    <w:rPr>
                      <w:rFonts w:cs="Arial"/>
                    </w:rPr>
                    <w:t>Demolición del depósito existente y nuevo Depósito de El Cruce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533.424,81 €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B87465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color w:val="000000"/>
                      <w:sz w:val="22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  <w:t xml:space="preserve">3.368.803,68 €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lef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ind w:firstLineChars="100" w:firstLine="240"/>
                    <w:jc w:val="lef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>Subtotal Obras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11.871.615,11 €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ind w:firstLineChars="100" w:firstLine="240"/>
                    <w:jc w:val="lef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>Dirección de obras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356.148,45 €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E358EC">
                  <w:pPr>
                    <w:spacing w:before="0"/>
                    <w:ind w:firstLineChars="100" w:firstLine="240"/>
                    <w:jc w:val="lef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>Expropiaciones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color w:val="000000"/>
                      <w:szCs w:val="22"/>
                      <w:lang w:val="es-ES" w:eastAsia="es-ES"/>
                    </w:rPr>
                    <w:t xml:space="preserve">500.000,00 € </w:t>
                  </w:r>
                </w:p>
              </w:tc>
            </w:tr>
            <w:tr w:rsidR="00B87465" w:rsidRPr="00B87465" w:rsidTr="00B87465">
              <w:trPr>
                <w:trHeight w:val="300"/>
                <w:jc w:val="center"/>
              </w:trPr>
              <w:tc>
                <w:tcPr>
                  <w:tcW w:w="6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A002B3">
                  <w:pPr>
                    <w:spacing w:before="0"/>
                    <w:ind w:firstLineChars="100" w:firstLine="241"/>
                    <w:jc w:val="left"/>
                    <w:rPr>
                      <w:rFonts w:eastAsia="Times New Roman" w:cs="Arial"/>
                      <w:b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color w:val="000000"/>
                      <w:szCs w:val="22"/>
                      <w:lang w:val="es-ES" w:eastAsia="es-ES"/>
                    </w:rPr>
                    <w:t>TOTAL</w:t>
                  </w:r>
                </w:p>
              </w:tc>
              <w:tc>
                <w:tcPr>
                  <w:tcW w:w="24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87465" w:rsidRPr="00E358EC" w:rsidRDefault="00B87465" w:rsidP="00B87465">
                  <w:pPr>
                    <w:spacing w:before="0"/>
                    <w:jc w:val="right"/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</w:pPr>
                  <w:r w:rsidRPr="00E358EC">
                    <w:rPr>
                      <w:rFonts w:eastAsia="Times New Roman" w:cs="Arial"/>
                      <w:b/>
                      <w:bCs/>
                      <w:color w:val="000000"/>
                      <w:szCs w:val="22"/>
                      <w:lang w:val="es-ES" w:eastAsia="es-ES"/>
                    </w:rPr>
                    <w:t xml:space="preserve">12.727.763,56 € </w:t>
                  </w:r>
                </w:p>
              </w:tc>
            </w:tr>
          </w:tbl>
          <w:p w:rsidR="007755D7" w:rsidRDefault="007755D7" w:rsidP="00B87465">
            <w:pPr>
              <w:spacing w:before="0"/>
              <w:rPr>
                <w:rFonts w:cs="Arial"/>
                <w:b/>
              </w:rPr>
            </w:pPr>
          </w:p>
          <w:p w:rsidR="00882D44" w:rsidRPr="00E358EC" w:rsidRDefault="00940444" w:rsidP="0046526E">
            <w:pPr>
              <w:spacing w:before="0"/>
              <w:rPr>
                <w:rFonts w:cs="Arial"/>
              </w:rPr>
            </w:pPr>
            <w:r>
              <w:rPr>
                <w:rFonts w:cs="Arial"/>
              </w:rPr>
              <w:t>Dado que parte de los trabajos se ejecutarán en 201</w:t>
            </w:r>
            <w:r w:rsidR="00C2268E">
              <w:rPr>
                <w:rFonts w:cs="Arial"/>
              </w:rPr>
              <w:t>8</w:t>
            </w:r>
            <w:r>
              <w:rPr>
                <w:rFonts w:cs="Arial"/>
              </w:rPr>
              <w:t xml:space="preserve">, se prevé que </w:t>
            </w:r>
            <w:r w:rsidR="004307A6">
              <w:rPr>
                <w:rFonts w:cs="Arial"/>
              </w:rPr>
              <w:t xml:space="preserve">GESTA vaya facturando y cobrando del CIATF </w:t>
            </w:r>
            <w:r>
              <w:rPr>
                <w:rFonts w:cs="Arial"/>
              </w:rPr>
              <w:t>a medida que se justifique la inversión realizada, por lo que a 31-12-201</w:t>
            </w:r>
            <w:r w:rsidR="00C2268E">
              <w:rPr>
                <w:rFonts w:cs="Arial"/>
              </w:rPr>
              <w:t>7</w:t>
            </w:r>
            <w:r>
              <w:rPr>
                <w:rFonts w:cs="Arial"/>
              </w:rPr>
              <w:t xml:space="preserve">, se habrían </w:t>
            </w:r>
            <w:r w:rsidR="004307A6">
              <w:rPr>
                <w:rFonts w:cs="Arial"/>
              </w:rPr>
              <w:t>certificado y cobrado los trabajos realizados por un importe de 7.</w:t>
            </w:r>
            <w:r w:rsidR="0046526E">
              <w:rPr>
                <w:rFonts w:cs="Arial"/>
              </w:rPr>
              <w:t>897.194,04</w:t>
            </w:r>
            <w:r w:rsidR="004307A6">
              <w:rPr>
                <w:rFonts w:cs="Arial"/>
              </w:rPr>
              <w:t xml:space="preserve"> euros (</w:t>
            </w:r>
            <w:r w:rsidR="0046526E">
              <w:rPr>
                <w:rFonts w:cs="Arial"/>
              </w:rPr>
              <w:t>77.194,04</w:t>
            </w:r>
            <w:r w:rsidR="004307A6">
              <w:rPr>
                <w:rFonts w:cs="Arial"/>
              </w:rPr>
              <w:t xml:space="preserve"> euros en 2016 y 7.820.000 euros en 2017)</w:t>
            </w:r>
            <w:r>
              <w:rPr>
                <w:rFonts w:cs="Arial"/>
              </w:rPr>
              <w:t xml:space="preserve">, quedando pendiente de cobro, y </w:t>
            </w:r>
            <w:r w:rsidR="004307A6">
              <w:rPr>
                <w:rFonts w:cs="Arial"/>
              </w:rPr>
              <w:t>a</w:t>
            </w:r>
            <w:r>
              <w:rPr>
                <w:rFonts w:cs="Arial"/>
              </w:rPr>
              <w:t xml:space="preserve"> justificar con inversión a ejecutar en 201</w:t>
            </w:r>
            <w:r w:rsidR="004307A6">
              <w:rPr>
                <w:rFonts w:cs="Arial"/>
              </w:rPr>
              <w:t>8</w:t>
            </w:r>
            <w:r>
              <w:rPr>
                <w:rFonts w:cs="Arial"/>
              </w:rPr>
              <w:t xml:space="preserve"> un importe de </w:t>
            </w:r>
            <w:r w:rsidR="004307A6">
              <w:rPr>
                <w:rFonts w:cs="Arial"/>
              </w:rPr>
              <w:t>4.</w:t>
            </w:r>
            <w:r w:rsidR="0046526E">
              <w:rPr>
                <w:rFonts w:cs="Arial"/>
              </w:rPr>
              <w:t>830.569,52</w:t>
            </w:r>
            <w:r w:rsidR="004307A6">
              <w:rPr>
                <w:rFonts w:cs="Arial"/>
              </w:rPr>
              <w:t xml:space="preserve"> euros.</w:t>
            </w:r>
          </w:p>
        </w:tc>
      </w:tr>
    </w:tbl>
    <w:p w:rsidR="00CC19DF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</w:p>
    <w:p w:rsidR="00CC19DF" w:rsidRPr="002449DE" w:rsidRDefault="00CC19DF" w:rsidP="00EF579A">
      <w:pPr>
        <w:tabs>
          <w:tab w:val="left" w:pos="1439"/>
          <w:tab w:val="left" w:pos="2879"/>
          <w:tab w:val="left" w:pos="4319"/>
          <w:tab w:val="left" w:pos="5759"/>
        </w:tabs>
        <w:spacing w:before="60" w:after="60"/>
        <w:jc w:val="center"/>
        <w:rPr>
          <w:rFonts w:cs="Arial"/>
        </w:rPr>
      </w:pPr>
      <w:bookmarkStart w:id="0" w:name="_GoBack"/>
      <w:bookmarkEnd w:id="0"/>
    </w:p>
    <w:sectPr w:rsidR="00CC19DF" w:rsidRPr="002449DE" w:rsidSect="00161655">
      <w:pgSz w:w="11900" w:h="16840" w:code="9"/>
      <w:pgMar w:top="714" w:right="851" w:bottom="1701" w:left="1418" w:header="567" w:footer="552" w:gutter="0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  <wne:toolbarData r:id="rId1"/>
  </wne:toolbars>
  <wne:acds>
    <wne:acd wne:argValue="AQAAAAAA" wne:acdName="acd0" wne:fciIndexBasedOn="0065"/>
    <wne:acd wne:argValue="AgBBAHIAZQBhAA==" wne:acdName="acd1" wne:fciIndexBasedOn="0065"/>
    <wne:acd wne:acdName="acd2" wne:fciIndexBasedOn="0065"/>
    <wne:acd wne:argValue="AQAAAEAA" wne:acdName="acd3" wne:fciIndexBasedOn="0065"/>
    <wne:acd wne:argValue="AQAAAAEA" wne:acdName="acd4" wne:fciIndexBasedOn="0065"/>
    <wne:acd wne:argValue="AQAAAAIA" wne:acdName="acd5" wne:fciIndexBasedOn="0065"/>
    <wne:acd wne:acdName="acd6" wne:fciIndexBasedOn="0065"/>
    <wne:acd wne:argValue="AgBUAO0AdAB1AGwAbwBfAEIAbwByAGQAZQA=" wne:acdName="acd7" wne:fciIndexBasedOn="0065"/>
  </wne:acd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3D28" w:rsidRDefault="00BF3D28">
      <w:r>
        <w:separator/>
      </w:r>
    </w:p>
  </w:endnote>
  <w:endnote w:type="continuationSeparator" w:id="1">
    <w:p w:rsidR="00BF3D28" w:rsidRDefault="00BF3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3D28" w:rsidRDefault="00BF3D28">
      <w:r>
        <w:separator/>
      </w:r>
    </w:p>
  </w:footnote>
  <w:footnote w:type="continuationSeparator" w:id="1">
    <w:p w:rsidR="00BF3D28" w:rsidRDefault="00BF3D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7F664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7C6F093B"/>
    <w:multiLevelType w:val="hybridMultilevel"/>
    <w:tmpl w:val="79D66AC2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D9824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stylePaneFormatFilter w:val="3001"/>
  <w:documentType w:val="letter"/>
  <w:defaultTabStop w:val="709"/>
  <w:hyphenationZone w:val="425"/>
  <w:drawingGridHorizontalSpacing w:val="357"/>
  <w:drawingGridVerticalSpacing w:val="357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50277E"/>
    <w:rsid w:val="00077210"/>
    <w:rsid w:val="0008062D"/>
    <w:rsid w:val="00093714"/>
    <w:rsid w:val="00097733"/>
    <w:rsid w:val="000D0AA4"/>
    <w:rsid w:val="000D4726"/>
    <w:rsid w:val="000F652E"/>
    <w:rsid w:val="000F7256"/>
    <w:rsid w:val="000F7A0C"/>
    <w:rsid w:val="0013360D"/>
    <w:rsid w:val="00133D04"/>
    <w:rsid w:val="00144B6A"/>
    <w:rsid w:val="00161655"/>
    <w:rsid w:val="00181301"/>
    <w:rsid w:val="001E300B"/>
    <w:rsid w:val="00224A90"/>
    <w:rsid w:val="002449DE"/>
    <w:rsid w:val="00252E7B"/>
    <w:rsid w:val="002602AC"/>
    <w:rsid w:val="002C05B2"/>
    <w:rsid w:val="002C6FEA"/>
    <w:rsid w:val="00301207"/>
    <w:rsid w:val="00380B30"/>
    <w:rsid w:val="00411B1D"/>
    <w:rsid w:val="004307A6"/>
    <w:rsid w:val="00455EE8"/>
    <w:rsid w:val="0046526E"/>
    <w:rsid w:val="00484C35"/>
    <w:rsid w:val="00491058"/>
    <w:rsid w:val="004F77A4"/>
    <w:rsid w:val="0050277E"/>
    <w:rsid w:val="00577F4F"/>
    <w:rsid w:val="005A375A"/>
    <w:rsid w:val="005F7F3D"/>
    <w:rsid w:val="00631F47"/>
    <w:rsid w:val="00635A7C"/>
    <w:rsid w:val="00643780"/>
    <w:rsid w:val="00666A16"/>
    <w:rsid w:val="006F1211"/>
    <w:rsid w:val="00706BC1"/>
    <w:rsid w:val="00710EC5"/>
    <w:rsid w:val="0077097D"/>
    <w:rsid w:val="00770D32"/>
    <w:rsid w:val="007755D7"/>
    <w:rsid w:val="00783AB0"/>
    <w:rsid w:val="007F51F7"/>
    <w:rsid w:val="0081666F"/>
    <w:rsid w:val="00882D44"/>
    <w:rsid w:val="00891D27"/>
    <w:rsid w:val="008C1636"/>
    <w:rsid w:val="00940444"/>
    <w:rsid w:val="009516B2"/>
    <w:rsid w:val="0095486B"/>
    <w:rsid w:val="00960674"/>
    <w:rsid w:val="009D739C"/>
    <w:rsid w:val="00A002B3"/>
    <w:rsid w:val="00A26DE5"/>
    <w:rsid w:val="00A508D2"/>
    <w:rsid w:val="00A6003F"/>
    <w:rsid w:val="00AA18FB"/>
    <w:rsid w:val="00AC1550"/>
    <w:rsid w:val="00B40E42"/>
    <w:rsid w:val="00B87465"/>
    <w:rsid w:val="00B97F5E"/>
    <w:rsid w:val="00BF3D28"/>
    <w:rsid w:val="00C2268E"/>
    <w:rsid w:val="00C2279D"/>
    <w:rsid w:val="00C251CF"/>
    <w:rsid w:val="00C27DF2"/>
    <w:rsid w:val="00C456BD"/>
    <w:rsid w:val="00C63804"/>
    <w:rsid w:val="00C80964"/>
    <w:rsid w:val="00C95B06"/>
    <w:rsid w:val="00CC19DF"/>
    <w:rsid w:val="00CE3068"/>
    <w:rsid w:val="00D03E41"/>
    <w:rsid w:val="00D152FE"/>
    <w:rsid w:val="00D309D1"/>
    <w:rsid w:val="00D4329D"/>
    <w:rsid w:val="00D46890"/>
    <w:rsid w:val="00D636F5"/>
    <w:rsid w:val="00D84BD8"/>
    <w:rsid w:val="00E05401"/>
    <w:rsid w:val="00E358EC"/>
    <w:rsid w:val="00E417F4"/>
    <w:rsid w:val="00E55BDB"/>
    <w:rsid w:val="00EF579A"/>
    <w:rsid w:val="00F2599E"/>
    <w:rsid w:val="00F87FF6"/>
    <w:rsid w:val="00FA685B"/>
    <w:rsid w:val="00FD2BD7"/>
    <w:rsid w:val="00FD6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  <w:rsid w:val="000F652E"/>
  </w:style>
  <w:style w:type="paragraph" w:styleId="Cierre">
    <w:name w:val="Closing"/>
    <w:basedOn w:val="Normal"/>
    <w:unhideWhenUsed/>
    <w:rsid w:val="000F652E"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1655"/>
    <w:pPr>
      <w:spacing w:before="240"/>
      <w:jc w:val="both"/>
    </w:pPr>
    <w:rPr>
      <w:rFonts w:ascii="Arial" w:hAnsi="Arial"/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qFormat/>
    <w:rsid w:val="00C251CF"/>
    <w:pPr>
      <w:outlineLvl w:val="0"/>
    </w:pPr>
    <w:rPr>
      <w:rFonts w:cs="Arial"/>
      <w:b/>
      <w:bCs/>
      <w:sz w:val="32"/>
      <w:lang w:val="es-ES"/>
    </w:rPr>
  </w:style>
  <w:style w:type="paragraph" w:styleId="Ttulo2">
    <w:name w:val="heading 2"/>
    <w:basedOn w:val="Normal"/>
    <w:next w:val="Normal"/>
    <w:qFormat/>
    <w:rsid w:val="00C251CF"/>
    <w:pPr>
      <w:spacing w:before="120" w:after="60"/>
      <w:outlineLvl w:val="1"/>
    </w:pPr>
    <w:rPr>
      <w:rFonts w:cs="Arial"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C251CF"/>
    <w:pPr>
      <w:spacing w:after="60"/>
      <w:outlineLvl w:val="2"/>
    </w:pPr>
    <w:rPr>
      <w:rFonts w:cs="Arial"/>
      <w:b/>
      <w:bCs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Mapadeldocumento">
    <w:name w:val="Document Map"/>
    <w:basedOn w:val="Normal"/>
    <w:semiHidden/>
    <w:rsid w:val="009D739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echa">
    <w:name w:val="Date"/>
    <w:basedOn w:val="Normal"/>
    <w:next w:val="Normal"/>
    <w:unhideWhenUsed/>
    <w:rsid w:val="000F652E"/>
  </w:style>
  <w:style w:type="paragraph" w:styleId="Cierre">
    <w:name w:val="Closing"/>
    <w:basedOn w:val="Normal"/>
    <w:unhideWhenUsed/>
    <w:rsid w:val="000F652E"/>
  </w:style>
  <w:style w:type="paragraph" w:styleId="Firma">
    <w:name w:val="Signature"/>
    <w:basedOn w:val="Normal"/>
    <w:unhideWhenUsed/>
    <w:rsid w:val="00161655"/>
    <w:pPr>
      <w:spacing w:before="800"/>
      <w:jc w:val="center"/>
    </w:pPr>
    <w:rPr>
      <w:b/>
      <w:lang w:val="es-ES"/>
    </w:rPr>
  </w:style>
  <w:style w:type="paragraph" w:styleId="Encabezado">
    <w:name w:val="header"/>
    <w:basedOn w:val="Normal"/>
    <w:unhideWhenUsed/>
    <w:rsid w:val="0050277E"/>
    <w:pPr>
      <w:tabs>
        <w:tab w:val="center" w:pos="4252"/>
        <w:tab w:val="right" w:pos="8504"/>
      </w:tabs>
      <w:spacing w:before="0"/>
    </w:pPr>
  </w:style>
  <w:style w:type="paragraph" w:styleId="Piedepgina">
    <w:name w:val="footer"/>
    <w:basedOn w:val="Normal"/>
    <w:unhideWhenUsed/>
    <w:rsid w:val="0050277E"/>
    <w:pPr>
      <w:tabs>
        <w:tab w:val="center" w:pos="4998"/>
      </w:tabs>
      <w:spacing w:before="0"/>
      <w:ind w:right="-8"/>
    </w:pPr>
    <w:rPr>
      <w:rFonts w:cs="Arial"/>
      <w:sz w:val="16"/>
      <w:szCs w:val="16"/>
    </w:rPr>
  </w:style>
  <w:style w:type="paragraph" w:customStyle="1" w:styleId="Area">
    <w:name w:val="Area"/>
    <w:basedOn w:val="Normal"/>
    <w:rsid w:val="0050277E"/>
    <w:pPr>
      <w:spacing w:before="0" w:line="200" w:lineRule="exact"/>
    </w:pPr>
    <w:rPr>
      <w:rFonts w:cs="Arial"/>
      <w:bCs/>
      <w:sz w:val="18"/>
      <w:lang w:val="es-ES"/>
    </w:rPr>
  </w:style>
  <w:style w:type="paragraph" w:customStyle="1" w:styleId="Escudo">
    <w:name w:val="Escudo"/>
    <w:basedOn w:val="Normal"/>
    <w:rsid w:val="0050277E"/>
    <w:pPr>
      <w:spacing w:before="0"/>
      <w:ind w:right="-147"/>
    </w:pPr>
    <w:rPr>
      <w:rFonts w:cs="Arial"/>
    </w:rPr>
  </w:style>
  <w:style w:type="table" w:styleId="Tablaconcuadrcula">
    <w:name w:val="Table Grid"/>
    <w:basedOn w:val="Tablanormal"/>
    <w:rsid w:val="002602AC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tuloBorde">
    <w:name w:val="Título_Borde"/>
    <w:basedOn w:val="Ttulo1"/>
    <w:next w:val="Normal"/>
    <w:rsid w:val="00C251CF"/>
    <w:pPr>
      <w:pBdr>
        <w:bottom w:val="single" w:sz="4" w:space="1" w:color="auto"/>
      </w:pBdr>
      <w:spacing w:after="600"/>
    </w:pPr>
  </w:style>
  <w:style w:type="paragraph" w:styleId="Textodeglobo">
    <w:name w:val="Balloon Text"/>
    <w:basedOn w:val="Normal"/>
    <w:semiHidden/>
    <w:rsid w:val="00161655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70D32"/>
  </w:style>
  <w:style w:type="character" w:customStyle="1" w:styleId="CharacterStyle2">
    <w:name w:val="Character Style 2"/>
    <w:rsid w:val="00C27DF2"/>
    <w:rPr>
      <w:rFonts w:ascii="Verdana" w:hAnsi="Verdana" w:cs="Verdan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7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484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Anuncio Boletín Oficial</vt:lpstr>
    </vt:vector>
  </TitlesOfParts>
  <Manager>S.A.Presidencia Informática y Comunicaciones</Manager>
  <Company>Cabildo Insular de Tenerife</Company>
  <LinksUpToDate>false</LinksUpToDate>
  <CharactersWithSpaces>3096</CharactersWithSpaces>
  <SharedDoc>false</SharedDoc>
  <HLinks>
    <vt:vector size="12" baseType="variant">
      <vt:variant>
        <vt:i4>6357073</vt:i4>
      </vt:variant>
      <vt:variant>
        <vt:i4>2048</vt:i4>
      </vt:variant>
      <vt:variant>
        <vt:i4>1025</vt:i4>
      </vt:variant>
      <vt:variant>
        <vt:i4>1</vt:i4>
      </vt:variant>
      <vt:variant>
        <vt:lpwstr>logo-administrativo</vt:lpwstr>
      </vt:variant>
      <vt:variant>
        <vt:lpwstr/>
      </vt:variant>
      <vt:variant>
        <vt:i4>5963778</vt:i4>
      </vt:variant>
      <vt:variant>
        <vt:i4>22098</vt:i4>
      </vt:variant>
      <vt:variant>
        <vt:i4>1026</vt:i4>
      </vt:variant>
      <vt:variant>
        <vt:i4>1</vt:i4>
      </vt:variant>
      <vt:variant>
        <vt:lpwstr>logo-administrativo-2pag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Anuncio Boletín Oficial</dc:title>
  <dc:creator>Unidad Web</dc:creator>
  <cp:keywords>Anuncio Boletín Oficial</cp:keywords>
  <cp:lastModifiedBy>Excmo. Cabildo Insular de Tenerife</cp:lastModifiedBy>
  <cp:revision>4</cp:revision>
  <cp:lastPrinted>2015-11-12T15:22:00Z</cp:lastPrinted>
  <dcterms:created xsi:type="dcterms:W3CDTF">2016-11-03T15:39:00Z</dcterms:created>
  <dcterms:modified xsi:type="dcterms:W3CDTF">2016-11-25T09:27:00Z</dcterms:modified>
  <cp:category>Documento Administrativo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ioma">
    <vt:lpwstr>Español</vt:lpwstr>
  </property>
</Properties>
</file>